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48C1E" w14:textId="77777777" w:rsidR="00AE2929" w:rsidRPr="00AD7A2D" w:rsidRDefault="00AE2929">
      <w:pPr>
        <w:rPr>
          <w:rFonts w:cstheme="minorHAnsi"/>
          <w:sz w:val="21"/>
          <w:szCs w:val="21"/>
        </w:rPr>
      </w:pPr>
    </w:p>
    <w:p w14:paraId="2A8B784C" w14:textId="77777777" w:rsidR="009B0BB1" w:rsidRDefault="009B0BB1" w:rsidP="00AE2929">
      <w:pPr>
        <w:rPr>
          <w:rFonts w:cstheme="minorHAnsi"/>
          <w:b/>
          <w:sz w:val="24"/>
          <w:szCs w:val="24"/>
        </w:rPr>
      </w:pPr>
    </w:p>
    <w:p w14:paraId="7307EEF7" w14:textId="1DB73D87" w:rsidR="009B0BB1" w:rsidRDefault="00643076" w:rsidP="00766F09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Planned Activities for 202</w:t>
      </w:r>
      <w:r w:rsidR="009D40E7">
        <w:rPr>
          <w:rFonts w:cstheme="minorHAnsi"/>
          <w:b/>
          <w:sz w:val="28"/>
          <w:szCs w:val="28"/>
        </w:rPr>
        <w:t>5</w:t>
      </w:r>
    </w:p>
    <w:p w14:paraId="1F2739CA" w14:textId="77777777" w:rsidR="000D5E6D" w:rsidRPr="00766F09" w:rsidRDefault="000D5E6D" w:rsidP="00766F09">
      <w:pPr>
        <w:jc w:val="center"/>
        <w:rPr>
          <w:rFonts w:cstheme="minorHAnsi"/>
          <w:b/>
          <w:sz w:val="28"/>
          <w:szCs w:val="28"/>
        </w:rPr>
      </w:pPr>
    </w:p>
    <w:p w14:paraId="331B0127" w14:textId="47EC81D7" w:rsidR="00A414C2" w:rsidRDefault="00A414C2" w:rsidP="00F229D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activities of ELI Hubs and SIGs are governed by the </w:t>
      </w:r>
      <w:hyperlink r:id="rId7" w:history="1">
        <w:r w:rsidRPr="006E3871">
          <w:rPr>
            <w:rStyle w:val="Hyperlink"/>
            <w:rFonts w:ascii="Calibri" w:hAnsi="Calibri" w:cs="Calibri"/>
            <w:color w:val="auto"/>
          </w:rPr>
          <w:t>Guidelines for ELI Hubs and SIGs</w:t>
        </w:r>
      </w:hyperlink>
      <w:r>
        <w:rPr>
          <w:rFonts w:ascii="Calibri" w:hAnsi="Calibri" w:cs="Calibri"/>
        </w:rPr>
        <w:t>. Chairs are invited to regularly consult the Guidelines.</w:t>
      </w:r>
    </w:p>
    <w:p w14:paraId="33C8E38A" w14:textId="75D841DB" w:rsidR="00766F09" w:rsidRPr="00FB6DAB" w:rsidRDefault="00AE2929" w:rsidP="00766F09">
      <w:pPr>
        <w:rPr>
          <w:rFonts w:ascii="Calibri" w:hAnsi="Calibri" w:cs="Calibri"/>
        </w:rPr>
      </w:pPr>
      <w:r w:rsidRPr="00992CCB">
        <w:rPr>
          <w:rFonts w:ascii="Calibri" w:hAnsi="Calibri" w:cs="Calibri"/>
        </w:rPr>
        <w:t>Given</w:t>
      </w:r>
      <w:r w:rsidR="00915926" w:rsidRPr="00992CCB">
        <w:rPr>
          <w:rFonts w:ascii="Calibri" w:hAnsi="Calibri" w:cs="Calibri"/>
        </w:rPr>
        <w:t>,</w:t>
      </w:r>
      <w:r w:rsidR="00915926">
        <w:rPr>
          <w:rFonts w:ascii="Calibri" w:hAnsi="Calibri" w:cs="Calibri"/>
        </w:rPr>
        <w:t xml:space="preserve"> pursuant to Section 8(a) and Section 13(d) of the Guidelines,</w:t>
      </w:r>
      <w:r w:rsidRPr="00992CCB">
        <w:rPr>
          <w:rFonts w:ascii="Calibri" w:hAnsi="Calibri" w:cs="Calibri"/>
        </w:rPr>
        <w:t xml:space="preserve"> that each group is encouraged to </w:t>
      </w:r>
      <w:proofErr w:type="spellStart"/>
      <w:r w:rsidRPr="00992CCB">
        <w:rPr>
          <w:rFonts w:ascii="Calibri" w:hAnsi="Calibri" w:cs="Calibri"/>
        </w:rPr>
        <w:t>organise</w:t>
      </w:r>
      <w:proofErr w:type="spellEnd"/>
      <w:r w:rsidRPr="00992CCB">
        <w:rPr>
          <w:rFonts w:ascii="Calibri" w:hAnsi="Calibri" w:cs="Calibri"/>
        </w:rPr>
        <w:t xml:space="preserve"> at least one event </w:t>
      </w:r>
      <w:r w:rsidR="00156659" w:rsidRPr="00992CCB">
        <w:rPr>
          <w:rFonts w:ascii="Calibri" w:hAnsi="Calibri" w:cs="Calibri"/>
        </w:rPr>
        <w:t xml:space="preserve">and meeting each </w:t>
      </w:r>
      <w:r w:rsidRPr="00992CCB">
        <w:rPr>
          <w:rFonts w:ascii="Calibri" w:hAnsi="Calibri" w:cs="Calibri"/>
        </w:rPr>
        <w:t>year</w:t>
      </w:r>
      <w:r w:rsidR="00915926">
        <w:rPr>
          <w:rFonts w:ascii="Calibri" w:hAnsi="Calibri" w:cs="Calibri"/>
        </w:rPr>
        <w:t xml:space="preserve">, </w:t>
      </w:r>
      <w:r w:rsidRPr="00992CCB">
        <w:rPr>
          <w:rFonts w:ascii="Calibri" w:hAnsi="Calibri" w:cs="Calibri"/>
        </w:rPr>
        <w:t>we would like to kindly ask you to inform us about yo</w:t>
      </w:r>
      <w:r w:rsidR="00F229D0" w:rsidRPr="00992CCB">
        <w:rPr>
          <w:rFonts w:ascii="Calibri" w:hAnsi="Calibri" w:cs="Calibri"/>
        </w:rPr>
        <w:t>ur planned activities for 20</w:t>
      </w:r>
      <w:r w:rsidR="00E43E45">
        <w:rPr>
          <w:rFonts w:ascii="Calibri" w:hAnsi="Calibri" w:cs="Calibri"/>
        </w:rPr>
        <w:t>2</w:t>
      </w:r>
      <w:r w:rsidR="004509F3">
        <w:rPr>
          <w:rFonts w:ascii="Calibri" w:hAnsi="Calibri" w:cs="Calibri"/>
        </w:rPr>
        <w:t>5</w:t>
      </w:r>
      <w:r w:rsidR="00F229D0" w:rsidRPr="00992CCB">
        <w:rPr>
          <w:rFonts w:ascii="Calibri" w:hAnsi="Calibri" w:cs="Calibri"/>
        </w:rPr>
        <w:t>.</w:t>
      </w:r>
      <w:r w:rsidR="00766F09">
        <w:rPr>
          <w:rFonts w:ascii="Calibri" w:hAnsi="Calibri" w:cs="Calibri"/>
        </w:rPr>
        <w:t xml:space="preserve"> Please return this form to us </w:t>
      </w:r>
      <w:r w:rsidR="00F71DA5" w:rsidRPr="00A31DF3">
        <w:rPr>
          <w:rFonts w:ascii="Calibri" w:hAnsi="Calibri" w:cs="Calibri"/>
          <w:bCs/>
        </w:rPr>
        <w:t>by</w:t>
      </w:r>
      <w:r w:rsidR="00F71DA5" w:rsidRPr="006E3871">
        <w:rPr>
          <w:rFonts w:ascii="Calibri" w:hAnsi="Calibri" w:cs="Calibri"/>
          <w:b/>
        </w:rPr>
        <w:t xml:space="preserve"> </w:t>
      </w:r>
      <w:r w:rsidR="00FC4ABA">
        <w:rPr>
          <w:rFonts w:ascii="Calibri" w:hAnsi="Calibri" w:cs="Calibri"/>
          <w:b/>
        </w:rPr>
        <w:t>31</w:t>
      </w:r>
      <w:r w:rsidR="00643076" w:rsidRPr="006E3871">
        <w:rPr>
          <w:rFonts w:ascii="Calibri" w:hAnsi="Calibri" w:cs="Calibri"/>
          <w:b/>
        </w:rPr>
        <w:t xml:space="preserve"> </w:t>
      </w:r>
      <w:r w:rsidR="00887E82" w:rsidRPr="006E3871">
        <w:rPr>
          <w:b/>
          <w:bCs/>
        </w:rPr>
        <w:t xml:space="preserve">January </w:t>
      </w:r>
      <w:r w:rsidR="00766F09" w:rsidRPr="006E3871">
        <w:rPr>
          <w:rFonts w:ascii="Calibri" w:hAnsi="Calibri" w:cs="Calibri"/>
          <w:b/>
        </w:rPr>
        <w:t>202</w:t>
      </w:r>
      <w:r w:rsidR="004509F3">
        <w:rPr>
          <w:rFonts w:ascii="Calibri" w:hAnsi="Calibri" w:cs="Calibri"/>
          <w:b/>
        </w:rPr>
        <w:t>5</w:t>
      </w:r>
      <w:r w:rsidR="00766F09" w:rsidRPr="006E3871">
        <w:rPr>
          <w:rFonts w:ascii="Calibri" w:hAnsi="Calibri" w:cs="Calibri"/>
        </w:rPr>
        <w:t>.</w:t>
      </w:r>
    </w:p>
    <w:p w14:paraId="1CB21649" w14:textId="24F43FC9" w:rsidR="00766F09" w:rsidRDefault="00FB6DAB" w:rsidP="00766F0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[Name of Hub</w:t>
      </w:r>
      <w:r w:rsidR="00766F09">
        <w:rPr>
          <w:rFonts w:cstheme="minorHAnsi"/>
          <w:b/>
          <w:sz w:val="24"/>
          <w:szCs w:val="24"/>
        </w:rPr>
        <w:t>]</w:t>
      </w:r>
      <w:r w:rsidR="00766F09" w:rsidRPr="00AD7A2D">
        <w:rPr>
          <w:rFonts w:cstheme="minorHAnsi"/>
          <w:b/>
          <w:sz w:val="24"/>
          <w:szCs w:val="24"/>
        </w:rPr>
        <w:t xml:space="preserve"> </w:t>
      </w:r>
    </w:p>
    <w:p w14:paraId="5A0B1087" w14:textId="04637715" w:rsidR="00AE2929" w:rsidRDefault="00AE2929" w:rsidP="00F229D0">
      <w:pPr>
        <w:rPr>
          <w:rFonts w:ascii="Calibri" w:hAnsi="Calibri" w:cs="Calibri"/>
          <w:i/>
        </w:rPr>
      </w:pPr>
      <w:r w:rsidRPr="00992CCB">
        <w:rPr>
          <w:rFonts w:ascii="Calibri" w:hAnsi="Calibri" w:cs="Calibri"/>
          <w:i/>
        </w:rPr>
        <w:t>Please provide a brief d</w:t>
      </w:r>
      <w:r w:rsidR="00F229D0" w:rsidRPr="00992CCB">
        <w:rPr>
          <w:rFonts w:ascii="Calibri" w:hAnsi="Calibri" w:cs="Calibri"/>
          <w:i/>
        </w:rPr>
        <w:t xml:space="preserve">escription of your planned </w:t>
      </w:r>
      <w:r w:rsidR="00AD7A2D" w:rsidRPr="00992CCB">
        <w:rPr>
          <w:rFonts w:ascii="Calibri" w:hAnsi="Calibri" w:cs="Calibri"/>
          <w:i/>
        </w:rPr>
        <w:t>activities</w:t>
      </w:r>
      <w:r w:rsidR="00766F09">
        <w:rPr>
          <w:rFonts w:ascii="Calibri" w:hAnsi="Calibri" w:cs="Calibri"/>
          <w:i/>
        </w:rPr>
        <w:t xml:space="preserve"> for 202</w:t>
      </w:r>
      <w:r w:rsidR="004509F3">
        <w:rPr>
          <w:rFonts w:ascii="Calibri" w:hAnsi="Calibri" w:cs="Calibri"/>
          <w:i/>
        </w:rPr>
        <w:t>5</w:t>
      </w:r>
      <w:r w:rsidRPr="00992CCB">
        <w:rPr>
          <w:rFonts w:ascii="Calibri" w:hAnsi="Calibri" w:cs="Calibri"/>
          <w:i/>
        </w:rPr>
        <w:t>:</w:t>
      </w:r>
    </w:p>
    <w:p w14:paraId="7321D055" w14:textId="77777777" w:rsidR="00766F09" w:rsidRPr="00992CCB" w:rsidRDefault="00766F09" w:rsidP="000D5E6D">
      <w:pPr>
        <w:spacing w:after="0" w:line="240" w:lineRule="auto"/>
        <w:jc w:val="center"/>
        <w:rPr>
          <w:rFonts w:ascii="Calibri" w:hAnsi="Calibri" w:cs="Calibr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2070"/>
        <w:gridCol w:w="1530"/>
        <w:gridCol w:w="1530"/>
        <w:gridCol w:w="3775"/>
      </w:tblGrid>
      <w:tr w:rsidR="00F229D0" w:rsidRPr="00992CCB" w14:paraId="441F5396" w14:textId="77777777" w:rsidTr="000D5E6D">
        <w:tc>
          <w:tcPr>
            <w:tcW w:w="445" w:type="dxa"/>
            <w:shd w:val="clear" w:color="auto" w:fill="D0CECE" w:themeFill="background2" w:themeFillShade="E6"/>
          </w:tcPr>
          <w:p w14:paraId="7585E627" w14:textId="77777777" w:rsidR="00F229D0" w:rsidRPr="00992CCB" w:rsidRDefault="00F229D0" w:rsidP="00AE292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D0CECE" w:themeFill="background2" w:themeFillShade="E6"/>
          </w:tcPr>
          <w:p w14:paraId="2CDB6194" w14:textId="26E1AF7E" w:rsidR="00F229D0" w:rsidRPr="00992CCB" w:rsidRDefault="00AD7A2D" w:rsidP="00F229D0">
            <w:pPr>
              <w:jc w:val="center"/>
              <w:rPr>
                <w:rFonts w:ascii="Calibri" w:hAnsi="Calibri" w:cs="Calibri"/>
              </w:rPr>
            </w:pPr>
            <w:r w:rsidRPr="00992CCB">
              <w:rPr>
                <w:rFonts w:ascii="Calibri" w:hAnsi="Calibri" w:cs="Calibri"/>
              </w:rPr>
              <w:t>Activity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14:paraId="773B2488" w14:textId="77777777" w:rsidR="00F229D0" w:rsidRPr="00992CCB" w:rsidRDefault="00F229D0" w:rsidP="00F229D0">
            <w:pPr>
              <w:jc w:val="center"/>
              <w:rPr>
                <w:rFonts w:ascii="Calibri" w:hAnsi="Calibri" w:cs="Calibri"/>
              </w:rPr>
            </w:pPr>
            <w:r w:rsidRPr="00992CCB">
              <w:rPr>
                <w:rFonts w:ascii="Calibri" w:hAnsi="Calibri" w:cs="Calibri"/>
              </w:rPr>
              <w:t>Date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14:paraId="32F57755" w14:textId="77777777" w:rsidR="00F229D0" w:rsidRPr="00992CCB" w:rsidRDefault="00F229D0" w:rsidP="00F229D0">
            <w:pPr>
              <w:jc w:val="center"/>
              <w:rPr>
                <w:rFonts w:ascii="Calibri" w:hAnsi="Calibri" w:cs="Calibri"/>
              </w:rPr>
            </w:pPr>
            <w:r w:rsidRPr="00992CCB">
              <w:rPr>
                <w:rFonts w:ascii="Calibri" w:hAnsi="Calibri" w:cs="Calibri"/>
              </w:rPr>
              <w:t>Venue</w:t>
            </w:r>
          </w:p>
        </w:tc>
        <w:tc>
          <w:tcPr>
            <w:tcW w:w="3775" w:type="dxa"/>
            <w:shd w:val="clear" w:color="auto" w:fill="D0CECE" w:themeFill="background2" w:themeFillShade="E6"/>
          </w:tcPr>
          <w:p w14:paraId="020FFB78" w14:textId="77777777" w:rsidR="00F229D0" w:rsidRDefault="002E431D" w:rsidP="00F229D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Brief </w:t>
            </w:r>
            <w:r w:rsidR="00766F09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escription</w:t>
            </w:r>
          </w:p>
          <w:p w14:paraId="0DEFD086" w14:textId="046AFE53" w:rsidR="0016358C" w:rsidRPr="0016358C" w:rsidRDefault="0016358C" w:rsidP="0016358C">
            <w:pPr>
              <w:jc w:val="center"/>
              <w:rPr>
                <w:rFonts w:ascii="Calibri" w:hAnsi="Calibri" w:cs="Calibri"/>
              </w:rPr>
            </w:pPr>
          </w:p>
        </w:tc>
      </w:tr>
      <w:tr w:rsidR="00F229D0" w:rsidRPr="00992CCB" w14:paraId="0B6EA401" w14:textId="77777777" w:rsidTr="000D5E6D">
        <w:tc>
          <w:tcPr>
            <w:tcW w:w="445" w:type="dxa"/>
            <w:shd w:val="clear" w:color="auto" w:fill="D0CECE" w:themeFill="background2" w:themeFillShade="E6"/>
          </w:tcPr>
          <w:p w14:paraId="00D67019" w14:textId="77777777" w:rsidR="00F229D0" w:rsidRPr="00992CCB" w:rsidRDefault="00F229D0" w:rsidP="00AE2929">
            <w:pPr>
              <w:rPr>
                <w:rFonts w:ascii="Calibri" w:hAnsi="Calibri" w:cs="Calibri"/>
              </w:rPr>
            </w:pPr>
            <w:r w:rsidRPr="00992CCB">
              <w:rPr>
                <w:rFonts w:ascii="Calibri" w:hAnsi="Calibri" w:cs="Calibri"/>
              </w:rPr>
              <w:t>1.</w:t>
            </w:r>
          </w:p>
        </w:tc>
        <w:tc>
          <w:tcPr>
            <w:tcW w:w="2070" w:type="dxa"/>
          </w:tcPr>
          <w:p w14:paraId="3D9710F3" w14:textId="77777777" w:rsidR="00F229D0" w:rsidRPr="00992CCB" w:rsidRDefault="00F229D0" w:rsidP="00AE2929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67721803" w14:textId="77777777" w:rsidR="00F229D0" w:rsidRPr="00992CCB" w:rsidRDefault="00F229D0" w:rsidP="00AE2929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1F101950" w14:textId="77777777" w:rsidR="00F229D0" w:rsidRPr="00992CCB" w:rsidRDefault="00F229D0" w:rsidP="00AE2929">
            <w:pPr>
              <w:rPr>
                <w:rFonts w:ascii="Calibri" w:hAnsi="Calibri" w:cs="Calibri"/>
              </w:rPr>
            </w:pPr>
          </w:p>
        </w:tc>
        <w:tc>
          <w:tcPr>
            <w:tcW w:w="3775" w:type="dxa"/>
          </w:tcPr>
          <w:p w14:paraId="47A7CCF5" w14:textId="77777777" w:rsidR="00F229D0" w:rsidRPr="00992CCB" w:rsidRDefault="00F229D0" w:rsidP="00AE2929">
            <w:pPr>
              <w:rPr>
                <w:rFonts w:ascii="Calibri" w:hAnsi="Calibri" w:cs="Calibri"/>
              </w:rPr>
            </w:pPr>
          </w:p>
        </w:tc>
      </w:tr>
      <w:tr w:rsidR="00F229D0" w:rsidRPr="00992CCB" w14:paraId="66B8D71D" w14:textId="77777777" w:rsidTr="000D5E6D">
        <w:tc>
          <w:tcPr>
            <w:tcW w:w="445" w:type="dxa"/>
            <w:shd w:val="clear" w:color="auto" w:fill="D0CECE" w:themeFill="background2" w:themeFillShade="E6"/>
          </w:tcPr>
          <w:p w14:paraId="2E967B67" w14:textId="77777777" w:rsidR="00F229D0" w:rsidRPr="00992CCB" w:rsidRDefault="00F229D0" w:rsidP="00AE2929">
            <w:pPr>
              <w:rPr>
                <w:rFonts w:ascii="Calibri" w:hAnsi="Calibri" w:cs="Calibri"/>
              </w:rPr>
            </w:pPr>
            <w:r w:rsidRPr="00992CCB">
              <w:rPr>
                <w:rFonts w:ascii="Calibri" w:hAnsi="Calibri" w:cs="Calibri"/>
              </w:rPr>
              <w:t>2.</w:t>
            </w:r>
          </w:p>
        </w:tc>
        <w:tc>
          <w:tcPr>
            <w:tcW w:w="2070" w:type="dxa"/>
          </w:tcPr>
          <w:p w14:paraId="5E08EB5E" w14:textId="77777777" w:rsidR="00F229D0" w:rsidRPr="00992CCB" w:rsidRDefault="00F229D0" w:rsidP="00AE2929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173A63E5" w14:textId="77777777" w:rsidR="00F229D0" w:rsidRPr="00992CCB" w:rsidRDefault="00F229D0" w:rsidP="00AE2929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36170D80" w14:textId="77777777" w:rsidR="00F229D0" w:rsidRPr="00992CCB" w:rsidRDefault="00F229D0" w:rsidP="00AE2929">
            <w:pPr>
              <w:rPr>
                <w:rFonts w:ascii="Calibri" w:hAnsi="Calibri" w:cs="Calibri"/>
              </w:rPr>
            </w:pPr>
          </w:p>
        </w:tc>
        <w:tc>
          <w:tcPr>
            <w:tcW w:w="3775" w:type="dxa"/>
          </w:tcPr>
          <w:p w14:paraId="2D6DC204" w14:textId="77777777" w:rsidR="00F229D0" w:rsidRPr="00992CCB" w:rsidRDefault="00F229D0" w:rsidP="00AE2929">
            <w:pPr>
              <w:rPr>
                <w:rFonts w:ascii="Calibri" w:hAnsi="Calibri" w:cs="Calibri"/>
              </w:rPr>
            </w:pPr>
          </w:p>
        </w:tc>
      </w:tr>
      <w:tr w:rsidR="00F229D0" w:rsidRPr="00992CCB" w14:paraId="30A7F6DA" w14:textId="77777777" w:rsidTr="000D5E6D">
        <w:tc>
          <w:tcPr>
            <w:tcW w:w="445" w:type="dxa"/>
            <w:shd w:val="clear" w:color="auto" w:fill="D0CECE" w:themeFill="background2" w:themeFillShade="E6"/>
          </w:tcPr>
          <w:p w14:paraId="5C214E32" w14:textId="77777777" w:rsidR="00F229D0" w:rsidRPr="00992CCB" w:rsidRDefault="00F229D0" w:rsidP="00AE2929">
            <w:pPr>
              <w:rPr>
                <w:rFonts w:ascii="Calibri" w:hAnsi="Calibri" w:cs="Calibri"/>
              </w:rPr>
            </w:pPr>
            <w:r w:rsidRPr="00992CCB">
              <w:rPr>
                <w:rFonts w:ascii="Calibri" w:hAnsi="Calibri" w:cs="Calibri"/>
              </w:rPr>
              <w:t>3.</w:t>
            </w:r>
          </w:p>
        </w:tc>
        <w:tc>
          <w:tcPr>
            <w:tcW w:w="2070" w:type="dxa"/>
          </w:tcPr>
          <w:p w14:paraId="04C1CC21" w14:textId="77777777" w:rsidR="00F229D0" w:rsidRPr="00992CCB" w:rsidRDefault="00F229D0" w:rsidP="00AE2929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19C0BA0C" w14:textId="77777777" w:rsidR="00F229D0" w:rsidRPr="00992CCB" w:rsidRDefault="00F229D0" w:rsidP="00AE2929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11AE30B5" w14:textId="77777777" w:rsidR="00F229D0" w:rsidRPr="00992CCB" w:rsidRDefault="00F229D0" w:rsidP="00AE2929">
            <w:pPr>
              <w:rPr>
                <w:rFonts w:ascii="Calibri" w:hAnsi="Calibri" w:cs="Calibri"/>
              </w:rPr>
            </w:pPr>
          </w:p>
        </w:tc>
        <w:tc>
          <w:tcPr>
            <w:tcW w:w="3775" w:type="dxa"/>
          </w:tcPr>
          <w:p w14:paraId="628F5B21" w14:textId="77777777" w:rsidR="00F229D0" w:rsidRPr="00992CCB" w:rsidRDefault="00F229D0" w:rsidP="00AE2929">
            <w:pPr>
              <w:rPr>
                <w:rFonts w:ascii="Calibri" w:hAnsi="Calibri" w:cs="Calibri"/>
              </w:rPr>
            </w:pPr>
          </w:p>
        </w:tc>
      </w:tr>
      <w:tr w:rsidR="00F229D0" w:rsidRPr="00992CCB" w14:paraId="1B053480" w14:textId="77777777" w:rsidTr="000D5E6D">
        <w:tc>
          <w:tcPr>
            <w:tcW w:w="445" w:type="dxa"/>
            <w:shd w:val="clear" w:color="auto" w:fill="D0CECE" w:themeFill="background2" w:themeFillShade="E6"/>
          </w:tcPr>
          <w:p w14:paraId="36B5D852" w14:textId="77777777" w:rsidR="00F229D0" w:rsidRPr="00992CCB" w:rsidRDefault="00F229D0" w:rsidP="00AE2929">
            <w:pPr>
              <w:rPr>
                <w:rFonts w:ascii="Calibri" w:hAnsi="Calibri" w:cs="Calibri"/>
              </w:rPr>
            </w:pPr>
            <w:r w:rsidRPr="00992CCB">
              <w:rPr>
                <w:rFonts w:ascii="Calibri" w:hAnsi="Calibri" w:cs="Calibri"/>
              </w:rPr>
              <w:t>4.</w:t>
            </w:r>
          </w:p>
        </w:tc>
        <w:tc>
          <w:tcPr>
            <w:tcW w:w="2070" w:type="dxa"/>
          </w:tcPr>
          <w:p w14:paraId="7938946F" w14:textId="77777777" w:rsidR="00F229D0" w:rsidRPr="00992CCB" w:rsidRDefault="00F229D0" w:rsidP="00AE2929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0AA34D94" w14:textId="77777777" w:rsidR="00F229D0" w:rsidRPr="00992CCB" w:rsidRDefault="00F229D0" w:rsidP="00AE2929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35E3E5EE" w14:textId="77777777" w:rsidR="00F229D0" w:rsidRPr="00992CCB" w:rsidRDefault="00F229D0" w:rsidP="00AE2929">
            <w:pPr>
              <w:rPr>
                <w:rFonts w:ascii="Calibri" w:hAnsi="Calibri" w:cs="Calibri"/>
              </w:rPr>
            </w:pPr>
          </w:p>
        </w:tc>
        <w:tc>
          <w:tcPr>
            <w:tcW w:w="3775" w:type="dxa"/>
          </w:tcPr>
          <w:p w14:paraId="02F8BA06" w14:textId="77777777" w:rsidR="00F229D0" w:rsidRPr="00992CCB" w:rsidRDefault="00F229D0" w:rsidP="00AE2929">
            <w:pPr>
              <w:rPr>
                <w:rFonts w:ascii="Calibri" w:hAnsi="Calibri" w:cs="Calibri"/>
              </w:rPr>
            </w:pPr>
          </w:p>
        </w:tc>
      </w:tr>
      <w:tr w:rsidR="00F229D0" w:rsidRPr="00992CCB" w14:paraId="3F87A429" w14:textId="77777777" w:rsidTr="000D5E6D">
        <w:tc>
          <w:tcPr>
            <w:tcW w:w="445" w:type="dxa"/>
            <w:shd w:val="clear" w:color="auto" w:fill="D0CECE" w:themeFill="background2" w:themeFillShade="E6"/>
          </w:tcPr>
          <w:p w14:paraId="31BBCE72" w14:textId="77777777" w:rsidR="00F229D0" w:rsidRPr="00992CCB" w:rsidRDefault="00F229D0" w:rsidP="00AE2929">
            <w:pPr>
              <w:rPr>
                <w:rFonts w:ascii="Calibri" w:hAnsi="Calibri" w:cs="Calibri"/>
              </w:rPr>
            </w:pPr>
            <w:r w:rsidRPr="00992CCB">
              <w:rPr>
                <w:rFonts w:ascii="Calibri" w:hAnsi="Calibri" w:cs="Calibri"/>
              </w:rPr>
              <w:t>5.</w:t>
            </w:r>
          </w:p>
        </w:tc>
        <w:tc>
          <w:tcPr>
            <w:tcW w:w="2070" w:type="dxa"/>
          </w:tcPr>
          <w:p w14:paraId="0CEBC1E2" w14:textId="77777777" w:rsidR="00F229D0" w:rsidRPr="00992CCB" w:rsidRDefault="00F229D0" w:rsidP="00AE2929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4B79C61B" w14:textId="77777777" w:rsidR="00F229D0" w:rsidRPr="00992CCB" w:rsidRDefault="00F229D0" w:rsidP="00AE2929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19B1CCD5" w14:textId="77777777" w:rsidR="00F229D0" w:rsidRPr="00992CCB" w:rsidRDefault="00F229D0" w:rsidP="00AE2929">
            <w:pPr>
              <w:rPr>
                <w:rFonts w:ascii="Calibri" w:hAnsi="Calibri" w:cs="Calibri"/>
              </w:rPr>
            </w:pPr>
          </w:p>
        </w:tc>
        <w:tc>
          <w:tcPr>
            <w:tcW w:w="3775" w:type="dxa"/>
          </w:tcPr>
          <w:p w14:paraId="550BC4BF" w14:textId="77777777" w:rsidR="00F229D0" w:rsidRPr="00992CCB" w:rsidRDefault="00F229D0" w:rsidP="00AE2929">
            <w:pPr>
              <w:rPr>
                <w:rFonts w:ascii="Calibri" w:hAnsi="Calibri" w:cs="Calibri"/>
              </w:rPr>
            </w:pPr>
          </w:p>
        </w:tc>
      </w:tr>
    </w:tbl>
    <w:p w14:paraId="77CA692F" w14:textId="77777777" w:rsidR="00256C3B" w:rsidRPr="00992CCB" w:rsidRDefault="00256C3B" w:rsidP="00AE2929">
      <w:pPr>
        <w:rPr>
          <w:rFonts w:ascii="Calibri" w:hAnsi="Calibri" w:cs="Calibri"/>
        </w:rPr>
      </w:pPr>
    </w:p>
    <w:p w14:paraId="728A251A" w14:textId="63BBD000" w:rsidR="00256C3B" w:rsidRPr="00992CCB" w:rsidRDefault="00256C3B" w:rsidP="003C58FA">
      <w:pPr>
        <w:contextualSpacing/>
        <w:rPr>
          <w:rFonts w:ascii="Calibri" w:hAnsi="Calibri" w:cs="Calibri"/>
          <w:b/>
        </w:rPr>
      </w:pPr>
    </w:p>
    <w:sectPr w:rsidR="00256C3B" w:rsidRPr="00992CC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87223" w14:textId="77777777" w:rsidR="00AE2929" w:rsidRDefault="00AE2929" w:rsidP="00AE2929">
      <w:pPr>
        <w:spacing w:after="0" w:line="240" w:lineRule="auto"/>
      </w:pPr>
      <w:r>
        <w:separator/>
      </w:r>
    </w:p>
  </w:endnote>
  <w:endnote w:type="continuationSeparator" w:id="0">
    <w:p w14:paraId="68E21943" w14:textId="77777777" w:rsidR="00AE2929" w:rsidRDefault="00AE2929" w:rsidP="00AE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697C3" w14:textId="77777777" w:rsidR="00AE2929" w:rsidRDefault="00AE2929" w:rsidP="00AE2929">
      <w:pPr>
        <w:spacing w:after="0" w:line="240" w:lineRule="auto"/>
      </w:pPr>
      <w:r>
        <w:separator/>
      </w:r>
    </w:p>
  </w:footnote>
  <w:footnote w:type="continuationSeparator" w:id="0">
    <w:p w14:paraId="7F85E827" w14:textId="77777777" w:rsidR="00AE2929" w:rsidRDefault="00AE2929" w:rsidP="00AE2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EB121" w14:textId="77777777" w:rsidR="00AE2929" w:rsidRDefault="00AE292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CB0729" wp14:editId="5EDE7A99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1708785" cy="1149985"/>
          <wp:effectExtent l="0" t="0" r="0" b="0"/>
          <wp:wrapNone/>
          <wp:docPr id="10" name="Picture 9" descr="eli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li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785" cy="1149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3D6B"/>
    <w:multiLevelType w:val="hybridMultilevel"/>
    <w:tmpl w:val="6784B3E6"/>
    <w:lvl w:ilvl="0" w:tplc="16FAD09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6341C"/>
    <w:multiLevelType w:val="hybridMultilevel"/>
    <w:tmpl w:val="9D88D444"/>
    <w:lvl w:ilvl="0" w:tplc="16FAD09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964B0"/>
    <w:multiLevelType w:val="hybridMultilevel"/>
    <w:tmpl w:val="11369846"/>
    <w:lvl w:ilvl="0" w:tplc="456E1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D5DCF"/>
    <w:multiLevelType w:val="hybridMultilevel"/>
    <w:tmpl w:val="99EEC6F4"/>
    <w:lvl w:ilvl="0" w:tplc="39C2169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14271"/>
    <w:multiLevelType w:val="hybridMultilevel"/>
    <w:tmpl w:val="C6B4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759CD"/>
    <w:multiLevelType w:val="hybridMultilevel"/>
    <w:tmpl w:val="B61CE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751373">
    <w:abstractNumId w:val="3"/>
  </w:num>
  <w:num w:numId="2" w16cid:durableId="81881072">
    <w:abstractNumId w:val="0"/>
  </w:num>
  <w:num w:numId="3" w16cid:durableId="950162129">
    <w:abstractNumId w:val="1"/>
  </w:num>
  <w:num w:numId="4" w16cid:durableId="1382899397">
    <w:abstractNumId w:val="2"/>
  </w:num>
  <w:num w:numId="5" w16cid:durableId="372534629">
    <w:abstractNumId w:val="4"/>
  </w:num>
  <w:num w:numId="6" w16cid:durableId="142089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929"/>
    <w:rsid w:val="000D5E6D"/>
    <w:rsid w:val="000E641C"/>
    <w:rsid w:val="00105A8F"/>
    <w:rsid w:val="00156659"/>
    <w:rsid w:val="0016358C"/>
    <w:rsid w:val="00197BE9"/>
    <w:rsid w:val="001C48FC"/>
    <w:rsid w:val="001C6ACA"/>
    <w:rsid w:val="001F291D"/>
    <w:rsid w:val="00256C3B"/>
    <w:rsid w:val="002863C9"/>
    <w:rsid w:val="002E431D"/>
    <w:rsid w:val="0032685F"/>
    <w:rsid w:val="00385217"/>
    <w:rsid w:val="003C58FA"/>
    <w:rsid w:val="004509F3"/>
    <w:rsid w:val="004855A7"/>
    <w:rsid w:val="00643076"/>
    <w:rsid w:val="006E3871"/>
    <w:rsid w:val="00764D58"/>
    <w:rsid w:val="00766F09"/>
    <w:rsid w:val="007F75FE"/>
    <w:rsid w:val="00887E82"/>
    <w:rsid w:val="008C0502"/>
    <w:rsid w:val="008E35AD"/>
    <w:rsid w:val="00915926"/>
    <w:rsid w:val="00992CCB"/>
    <w:rsid w:val="009A4289"/>
    <w:rsid w:val="009B0BB1"/>
    <w:rsid w:val="009D40E7"/>
    <w:rsid w:val="00A31DF3"/>
    <w:rsid w:val="00A414C2"/>
    <w:rsid w:val="00AD7A2D"/>
    <w:rsid w:val="00AE2929"/>
    <w:rsid w:val="00AE52D1"/>
    <w:rsid w:val="00B34E9E"/>
    <w:rsid w:val="00D2293A"/>
    <w:rsid w:val="00DF403B"/>
    <w:rsid w:val="00E11031"/>
    <w:rsid w:val="00E43E45"/>
    <w:rsid w:val="00E75999"/>
    <w:rsid w:val="00EA724E"/>
    <w:rsid w:val="00F229D0"/>
    <w:rsid w:val="00F71DA5"/>
    <w:rsid w:val="00FA7888"/>
    <w:rsid w:val="00FB6DAB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D8350"/>
  <w15:chartTrackingRefBased/>
  <w15:docId w15:val="{E9E52E75-A44C-46A8-8FDA-28A8BD64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929"/>
  </w:style>
  <w:style w:type="paragraph" w:styleId="Footer">
    <w:name w:val="footer"/>
    <w:basedOn w:val="Normal"/>
    <w:link w:val="FooterChar"/>
    <w:uiPriority w:val="99"/>
    <w:unhideWhenUsed/>
    <w:rsid w:val="00AE2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929"/>
  </w:style>
  <w:style w:type="paragraph" w:styleId="ListParagraph">
    <w:name w:val="List Paragraph"/>
    <w:basedOn w:val="Normal"/>
    <w:uiPriority w:val="34"/>
    <w:qFormat/>
    <w:rsid w:val="00AE29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E2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9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9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92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2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14C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6F0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C4A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uropeanlawinstitute.eu/fileadmin/user_upload/p_eli/hubs/Guidelines_for_ELI_Hubs_and_SIG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Universitaet Wien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Kolman</dc:creator>
  <cp:keywords/>
  <dc:description/>
  <cp:lastModifiedBy>Nia Ivanova</cp:lastModifiedBy>
  <cp:revision>4</cp:revision>
  <dcterms:created xsi:type="dcterms:W3CDTF">2024-11-13T08:42:00Z</dcterms:created>
  <dcterms:modified xsi:type="dcterms:W3CDTF">2024-11-22T14:12:00Z</dcterms:modified>
</cp:coreProperties>
</file>